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62" w:rsidRPr="00BA53D3" w:rsidRDefault="00770B62" w:rsidP="00770B62">
      <w:pPr>
        <w:jc w:val="center"/>
        <w:rPr>
          <w:rFonts w:ascii="Verdana" w:hAnsi="Verdana"/>
          <w:b/>
        </w:rPr>
      </w:pPr>
      <w:proofErr w:type="gramStart"/>
      <w:r w:rsidRPr="00BA53D3">
        <w:rPr>
          <w:rFonts w:ascii="Verdana" w:hAnsi="Verdana"/>
          <w:b/>
        </w:rPr>
        <w:t>Part 2.</w:t>
      </w:r>
      <w:proofErr w:type="gramEnd"/>
      <w:r>
        <w:rPr>
          <w:rFonts w:ascii="Verdana" w:hAnsi="Verdana"/>
          <w:b/>
        </w:rPr>
        <w:t xml:space="preserve"> </w:t>
      </w:r>
      <w:r w:rsidRPr="00BA53D3">
        <w:rPr>
          <w:rFonts w:ascii="Verdana" w:hAnsi="Verdana"/>
          <w:b/>
        </w:rPr>
        <w:t>Higher Order Cognitive Strategies</w:t>
      </w:r>
    </w:p>
    <w:p w:rsidR="00770B62" w:rsidRDefault="00770B62" w:rsidP="00770B62">
      <w:pPr>
        <w:rPr>
          <w:rFonts w:ascii="Verdana" w:hAnsi="Verdana"/>
        </w:rPr>
      </w:pPr>
    </w:p>
    <w:p w:rsidR="00770B62" w:rsidRDefault="00770B62" w:rsidP="00770B62">
      <w:pPr>
        <w:jc w:val="center"/>
        <w:rPr>
          <w:rFonts w:ascii="Arial" w:hAnsi="Arial" w:cs="Arial"/>
          <w:b/>
          <w:sz w:val="22"/>
          <w:szCs w:val="22"/>
        </w:rPr>
      </w:pPr>
      <w:r>
        <w:rPr>
          <w:rFonts w:ascii="Arial" w:hAnsi="Arial" w:cs="Arial"/>
          <w:b/>
          <w:sz w:val="22"/>
          <w:szCs w:val="22"/>
        </w:rPr>
        <w:t>Small Group</w:t>
      </w:r>
      <w:r w:rsidRPr="00E22A01">
        <w:rPr>
          <w:rFonts w:ascii="Arial" w:hAnsi="Arial" w:cs="Arial"/>
          <w:b/>
          <w:sz w:val="22"/>
          <w:szCs w:val="22"/>
        </w:rPr>
        <w:t xml:space="preserve"> </w:t>
      </w:r>
      <w:r>
        <w:rPr>
          <w:rFonts w:ascii="Arial" w:hAnsi="Arial" w:cs="Arial"/>
          <w:b/>
          <w:sz w:val="22"/>
          <w:szCs w:val="22"/>
        </w:rPr>
        <w:t xml:space="preserve">Facilitation </w:t>
      </w:r>
      <w:r w:rsidRPr="00E22A01">
        <w:rPr>
          <w:rFonts w:ascii="Arial" w:hAnsi="Arial" w:cs="Arial"/>
          <w:b/>
          <w:sz w:val="22"/>
          <w:szCs w:val="22"/>
        </w:rPr>
        <w:t xml:space="preserve">Observation </w:t>
      </w:r>
      <w:r>
        <w:rPr>
          <w:rFonts w:ascii="Arial" w:hAnsi="Arial" w:cs="Arial"/>
          <w:b/>
          <w:sz w:val="22"/>
          <w:szCs w:val="22"/>
        </w:rPr>
        <w:t>Guide</w:t>
      </w:r>
    </w:p>
    <w:p w:rsidR="00770B62" w:rsidRDefault="00770B62" w:rsidP="00770B62">
      <w:pPr>
        <w:jc w:val="center"/>
        <w:rPr>
          <w:rFonts w:ascii="Arial" w:hAnsi="Arial" w:cs="Arial"/>
          <w:b/>
          <w:sz w:val="22"/>
          <w:szCs w:val="22"/>
        </w:rPr>
      </w:pPr>
    </w:p>
    <w:p w:rsidR="00770B62" w:rsidRDefault="00770B62" w:rsidP="00770B62">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O=observed, NO=not observed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4"/>
        <w:gridCol w:w="388"/>
        <w:gridCol w:w="546"/>
        <w:gridCol w:w="3348"/>
      </w:tblGrid>
      <w:tr w:rsidR="00770B62" w:rsidRPr="00BC2685" w:rsidTr="00F95CAD">
        <w:tc>
          <w:tcPr>
            <w:tcW w:w="4574" w:type="dxa"/>
          </w:tcPr>
          <w:p w:rsidR="00770B62" w:rsidRPr="00BC2685" w:rsidRDefault="00770B62" w:rsidP="00F95CAD">
            <w:pPr>
              <w:rPr>
                <w:rFonts w:ascii="Arial" w:hAnsi="Arial" w:cs="Arial"/>
                <w:b/>
                <w:sz w:val="22"/>
                <w:szCs w:val="22"/>
              </w:rPr>
            </w:pPr>
            <w:r w:rsidRPr="00BC2685">
              <w:rPr>
                <w:rFonts w:ascii="Arial" w:hAnsi="Arial" w:cs="Arial"/>
                <w:b/>
                <w:sz w:val="22"/>
                <w:szCs w:val="22"/>
              </w:rPr>
              <w:t>Group Facilitation Strategies</w:t>
            </w:r>
          </w:p>
        </w:tc>
        <w:tc>
          <w:tcPr>
            <w:tcW w:w="388" w:type="dxa"/>
          </w:tcPr>
          <w:p w:rsidR="00770B62" w:rsidRPr="00BC2685" w:rsidRDefault="00770B62" w:rsidP="00F95CAD">
            <w:pPr>
              <w:rPr>
                <w:rFonts w:ascii="Arial" w:hAnsi="Arial" w:cs="Arial"/>
                <w:b/>
                <w:sz w:val="22"/>
                <w:szCs w:val="22"/>
              </w:rPr>
            </w:pPr>
            <w:r w:rsidRPr="00BC2685">
              <w:rPr>
                <w:rFonts w:ascii="Arial" w:hAnsi="Arial" w:cs="Arial"/>
                <w:b/>
                <w:sz w:val="22"/>
                <w:szCs w:val="22"/>
              </w:rPr>
              <w:t>O</w:t>
            </w:r>
          </w:p>
        </w:tc>
        <w:tc>
          <w:tcPr>
            <w:tcW w:w="546" w:type="dxa"/>
          </w:tcPr>
          <w:p w:rsidR="00770B62" w:rsidRPr="00BC2685" w:rsidRDefault="00770B62" w:rsidP="00F95CAD">
            <w:pPr>
              <w:rPr>
                <w:rFonts w:ascii="Arial" w:hAnsi="Arial" w:cs="Arial"/>
                <w:b/>
                <w:sz w:val="22"/>
                <w:szCs w:val="22"/>
              </w:rPr>
            </w:pPr>
            <w:r w:rsidRPr="00BC2685">
              <w:rPr>
                <w:rFonts w:ascii="Arial" w:hAnsi="Arial" w:cs="Arial"/>
                <w:b/>
                <w:sz w:val="22"/>
                <w:szCs w:val="22"/>
              </w:rPr>
              <w:t>NO</w:t>
            </w:r>
          </w:p>
        </w:tc>
        <w:tc>
          <w:tcPr>
            <w:tcW w:w="3348" w:type="dxa"/>
          </w:tcPr>
          <w:p w:rsidR="00770B62" w:rsidRPr="00BC2685" w:rsidRDefault="00770B62" w:rsidP="00F95CAD">
            <w:pPr>
              <w:rPr>
                <w:rFonts w:ascii="Arial" w:hAnsi="Arial" w:cs="Arial"/>
                <w:b/>
                <w:sz w:val="22"/>
                <w:szCs w:val="22"/>
              </w:rPr>
            </w:pPr>
            <w:r w:rsidRPr="00BC2685">
              <w:rPr>
                <w:rFonts w:ascii="Arial" w:hAnsi="Arial" w:cs="Arial"/>
                <w:b/>
                <w:sz w:val="22"/>
                <w:szCs w:val="22"/>
              </w:rPr>
              <w:t>Specific Examples/Comments</w:t>
            </w:r>
          </w:p>
        </w:tc>
      </w:tr>
      <w:tr w:rsidR="00770B62" w:rsidRPr="00BC2685" w:rsidTr="00F95CAD">
        <w:tc>
          <w:tcPr>
            <w:tcW w:w="4574" w:type="dxa"/>
          </w:tcPr>
          <w:p w:rsidR="00770B62" w:rsidRPr="00EF019F" w:rsidRDefault="00770B62" w:rsidP="00F95CAD">
            <w:pPr>
              <w:rPr>
                <w:rFonts w:ascii="Arial" w:hAnsi="Arial" w:cs="Arial"/>
                <w:i/>
                <w:sz w:val="22"/>
                <w:szCs w:val="22"/>
              </w:rPr>
            </w:pPr>
            <w:r>
              <w:rPr>
                <w:rFonts w:ascii="Arial" w:hAnsi="Arial" w:cs="Arial"/>
                <w:i/>
                <w:sz w:val="22"/>
                <w:szCs w:val="22"/>
              </w:rPr>
              <w:t>A</w:t>
            </w:r>
            <w:r w:rsidRPr="00EF019F">
              <w:rPr>
                <w:rFonts w:ascii="Arial" w:hAnsi="Arial" w:cs="Arial"/>
                <w:i/>
                <w:sz w:val="22"/>
                <w:szCs w:val="22"/>
              </w:rPr>
              <w:t xml:space="preserve">ssures in-depth, critical thinking and idea development that moves from lower to higher order cognitive skills (i.e., from information sharing to hypothesis generation, problem solving, </w:t>
            </w:r>
            <w:r>
              <w:rPr>
                <w:rFonts w:ascii="Arial" w:hAnsi="Arial" w:cs="Arial"/>
                <w:i/>
                <w:sz w:val="22"/>
                <w:szCs w:val="22"/>
              </w:rPr>
              <w:t>&amp; synthesis):</w:t>
            </w:r>
          </w:p>
          <w:p w:rsidR="00770B62" w:rsidRPr="00BC2685" w:rsidRDefault="00770B62" w:rsidP="00F95CAD">
            <w:pPr>
              <w:rPr>
                <w:rFonts w:ascii="Arial" w:hAnsi="Arial" w:cs="Arial"/>
                <w:sz w:val="22"/>
                <w:szCs w:val="22"/>
              </w:rPr>
            </w:pPr>
            <w:r w:rsidRPr="00BC2685">
              <w:rPr>
                <w:rFonts w:ascii="Arial" w:hAnsi="Arial" w:cs="Arial"/>
                <w:sz w:val="22"/>
                <w:szCs w:val="22"/>
              </w:rPr>
              <w:t>Ask</w:t>
            </w:r>
            <w:r>
              <w:rPr>
                <w:rFonts w:ascii="Arial" w:hAnsi="Arial" w:cs="Arial"/>
                <w:sz w:val="22"/>
                <w:szCs w:val="22"/>
              </w:rPr>
              <w:t>s</w:t>
            </w:r>
            <w:r w:rsidRPr="00BC2685">
              <w:rPr>
                <w:rFonts w:ascii="Arial" w:hAnsi="Arial" w:cs="Arial"/>
                <w:sz w:val="22"/>
                <w:szCs w:val="22"/>
              </w:rPr>
              <w:t xml:space="preserve"> open-ended questions</w:t>
            </w:r>
          </w:p>
          <w:p w:rsidR="00770B62" w:rsidRDefault="00770B62" w:rsidP="00F95CAD">
            <w:pPr>
              <w:rPr>
                <w:rFonts w:ascii="Arial" w:hAnsi="Arial" w:cs="Arial"/>
                <w:sz w:val="22"/>
                <w:szCs w:val="22"/>
              </w:rPr>
            </w:pPr>
            <w:r w:rsidRPr="00BC2685">
              <w:rPr>
                <w:rFonts w:ascii="Arial" w:hAnsi="Arial" w:cs="Arial"/>
                <w:sz w:val="22"/>
                <w:szCs w:val="22"/>
              </w:rPr>
              <w:t>Give</w:t>
            </w:r>
            <w:r>
              <w:rPr>
                <w:rFonts w:ascii="Arial" w:hAnsi="Arial" w:cs="Arial"/>
                <w:sz w:val="22"/>
                <w:szCs w:val="22"/>
              </w:rPr>
              <w:t>s</w:t>
            </w:r>
            <w:r w:rsidRPr="00BC2685">
              <w:rPr>
                <w:rFonts w:ascii="Arial" w:hAnsi="Arial" w:cs="Arial"/>
                <w:sz w:val="22"/>
                <w:szCs w:val="22"/>
              </w:rPr>
              <w:t xml:space="preserve"> s</w:t>
            </w:r>
            <w:r>
              <w:rPr>
                <w:rFonts w:ascii="Arial" w:hAnsi="Arial" w:cs="Arial"/>
                <w:sz w:val="22"/>
                <w:szCs w:val="22"/>
              </w:rPr>
              <w:t xml:space="preserve">tudents enough time to respond </w:t>
            </w:r>
          </w:p>
          <w:p w:rsidR="00770B62" w:rsidRDefault="00770B62" w:rsidP="00F95CAD">
            <w:pPr>
              <w:rPr>
                <w:rFonts w:ascii="Arial" w:hAnsi="Arial" w:cs="Arial"/>
                <w:sz w:val="22"/>
                <w:szCs w:val="22"/>
              </w:rPr>
            </w:pPr>
            <w:r>
              <w:rPr>
                <w:rFonts w:ascii="Arial" w:hAnsi="Arial" w:cs="Arial"/>
                <w:sz w:val="22"/>
                <w:szCs w:val="22"/>
              </w:rPr>
              <w:t>P</w:t>
            </w:r>
            <w:r w:rsidRPr="00BC2685">
              <w:rPr>
                <w:rFonts w:ascii="Arial" w:hAnsi="Arial" w:cs="Arial"/>
                <w:sz w:val="22"/>
                <w:szCs w:val="22"/>
              </w:rPr>
              <w:t>robe</w:t>
            </w:r>
            <w:r>
              <w:rPr>
                <w:rFonts w:ascii="Arial" w:hAnsi="Arial" w:cs="Arial"/>
                <w:sz w:val="22"/>
                <w:szCs w:val="22"/>
              </w:rPr>
              <w:t>s</w:t>
            </w:r>
            <w:r w:rsidRPr="00BC2685">
              <w:rPr>
                <w:rFonts w:ascii="Arial" w:hAnsi="Arial" w:cs="Arial"/>
                <w:sz w:val="22"/>
                <w:szCs w:val="22"/>
              </w:rPr>
              <w:t xml:space="preserve"> students’ </w:t>
            </w:r>
            <w:r>
              <w:rPr>
                <w:rFonts w:ascii="Arial" w:hAnsi="Arial" w:cs="Arial"/>
                <w:sz w:val="22"/>
                <w:szCs w:val="22"/>
              </w:rPr>
              <w:t xml:space="preserve">reasoning (e.g., asks </w:t>
            </w:r>
          </w:p>
          <w:p w:rsidR="00770B62" w:rsidRDefault="00770B62" w:rsidP="00F95CAD">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why</w:t>
            </w:r>
            <w:proofErr w:type="gramEnd"/>
            <w:r>
              <w:rPr>
                <w:rFonts w:ascii="Arial" w:hAnsi="Arial" w:cs="Arial"/>
                <w:sz w:val="22"/>
                <w:szCs w:val="22"/>
              </w:rPr>
              <w:t xml:space="preserve">? </w:t>
            </w:r>
            <w:proofErr w:type="gramStart"/>
            <w:r>
              <w:rPr>
                <w:rFonts w:ascii="Arial" w:hAnsi="Arial" w:cs="Arial"/>
                <w:sz w:val="22"/>
                <w:szCs w:val="22"/>
              </w:rPr>
              <w:t>suppose</w:t>
            </w:r>
            <w:proofErr w:type="gramEnd"/>
            <w:r>
              <w:rPr>
                <w:rFonts w:ascii="Arial" w:hAnsi="Arial" w:cs="Arial"/>
                <w:sz w:val="22"/>
                <w:szCs w:val="22"/>
              </w:rPr>
              <w:t xml:space="preserve">? </w:t>
            </w:r>
            <w:proofErr w:type="gramStart"/>
            <w:r>
              <w:rPr>
                <w:rFonts w:ascii="Arial" w:hAnsi="Arial" w:cs="Arial"/>
                <w:sz w:val="22"/>
                <w:szCs w:val="22"/>
              </w:rPr>
              <w:t>what</w:t>
            </w:r>
            <w:proofErr w:type="gramEnd"/>
            <w:r>
              <w:rPr>
                <w:rFonts w:ascii="Arial" w:hAnsi="Arial" w:cs="Arial"/>
                <w:sz w:val="22"/>
                <w:szCs w:val="22"/>
              </w:rPr>
              <w:t xml:space="preserve"> if?)</w:t>
            </w:r>
          </w:p>
          <w:p w:rsidR="00770B62" w:rsidRPr="00BC2685" w:rsidRDefault="00770B62" w:rsidP="00F95CAD">
            <w:pPr>
              <w:rPr>
                <w:rFonts w:ascii="Arial" w:hAnsi="Arial" w:cs="Arial"/>
                <w:sz w:val="22"/>
                <w:szCs w:val="22"/>
              </w:rPr>
            </w:pPr>
            <w:r w:rsidRPr="00BC2685">
              <w:rPr>
                <w:rFonts w:ascii="Arial" w:hAnsi="Arial" w:cs="Arial"/>
                <w:sz w:val="22"/>
                <w:szCs w:val="22"/>
              </w:rPr>
              <w:t>Urge</w:t>
            </w:r>
            <w:r>
              <w:rPr>
                <w:rFonts w:ascii="Arial" w:hAnsi="Arial" w:cs="Arial"/>
                <w:sz w:val="22"/>
                <w:szCs w:val="22"/>
              </w:rPr>
              <w:t>s</w:t>
            </w:r>
            <w:r w:rsidRPr="00BC2685">
              <w:rPr>
                <w:rFonts w:ascii="Arial" w:hAnsi="Arial" w:cs="Arial"/>
                <w:sz w:val="22"/>
                <w:szCs w:val="22"/>
              </w:rPr>
              <w:t xml:space="preserve"> students to use multiple </w:t>
            </w:r>
            <w:r>
              <w:rPr>
                <w:rFonts w:ascii="Arial" w:hAnsi="Arial" w:cs="Arial"/>
                <w:sz w:val="22"/>
                <w:szCs w:val="22"/>
              </w:rPr>
              <w:t>strategies</w:t>
            </w:r>
          </w:p>
          <w:p w:rsidR="00770B62" w:rsidRPr="00BC2685" w:rsidRDefault="00770B62" w:rsidP="00F95CAD">
            <w:pPr>
              <w:rPr>
                <w:rFonts w:ascii="Arial" w:hAnsi="Arial" w:cs="Arial"/>
                <w:sz w:val="22"/>
                <w:szCs w:val="22"/>
              </w:rPr>
            </w:pPr>
            <w:r w:rsidRPr="00BC2685">
              <w:rPr>
                <w:rFonts w:ascii="Arial" w:hAnsi="Arial" w:cs="Arial"/>
                <w:sz w:val="22"/>
                <w:szCs w:val="22"/>
              </w:rPr>
              <w:t xml:space="preserve">    to explore different aspects of the issues    </w:t>
            </w:r>
          </w:p>
          <w:p w:rsidR="00770B62" w:rsidRPr="00BC2685" w:rsidRDefault="00770B62" w:rsidP="00F95CAD">
            <w:pPr>
              <w:rPr>
                <w:rFonts w:ascii="Arial" w:hAnsi="Arial" w:cs="Arial"/>
                <w:sz w:val="22"/>
                <w:szCs w:val="22"/>
              </w:rPr>
            </w:pPr>
            <w:r w:rsidRPr="00BC2685">
              <w:rPr>
                <w:rFonts w:ascii="Arial" w:hAnsi="Arial" w:cs="Arial"/>
                <w:sz w:val="22"/>
                <w:szCs w:val="22"/>
              </w:rPr>
              <w:t xml:space="preserve">    (e.g., draw concept maps; draw </w:t>
            </w:r>
          </w:p>
          <w:p w:rsidR="00770B62" w:rsidRPr="00BC2685" w:rsidRDefault="00770B62" w:rsidP="00F95CAD">
            <w:pPr>
              <w:rPr>
                <w:rFonts w:ascii="Arial" w:hAnsi="Arial" w:cs="Arial"/>
                <w:sz w:val="22"/>
                <w:szCs w:val="22"/>
              </w:rPr>
            </w:pPr>
            <w:r w:rsidRPr="00BC2685">
              <w:rPr>
                <w:rFonts w:ascii="Arial" w:hAnsi="Arial" w:cs="Arial"/>
                <w:sz w:val="22"/>
                <w:szCs w:val="22"/>
              </w:rPr>
              <w:t xml:space="preserve">    diagrams on the board; look up images</w:t>
            </w:r>
          </w:p>
          <w:p w:rsidR="00770B62" w:rsidRPr="00BC2685" w:rsidRDefault="00770B62" w:rsidP="00F95CAD">
            <w:pPr>
              <w:rPr>
                <w:rFonts w:ascii="Arial" w:hAnsi="Arial" w:cs="Arial"/>
                <w:sz w:val="22"/>
                <w:szCs w:val="22"/>
              </w:rPr>
            </w:pPr>
            <w:r w:rsidRPr="00BC2685">
              <w:rPr>
                <w:rFonts w:ascii="Arial" w:hAnsi="Arial" w:cs="Arial"/>
                <w:sz w:val="22"/>
                <w:szCs w:val="22"/>
              </w:rPr>
              <w:t xml:space="preserve">    or research via the web; manipulate or </w:t>
            </w:r>
          </w:p>
          <w:p w:rsidR="00770B62" w:rsidRDefault="00770B62" w:rsidP="00F95CAD">
            <w:pPr>
              <w:rPr>
                <w:rFonts w:ascii="Arial" w:hAnsi="Arial" w:cs="Arial"/>
                <w:sz w:val="22"/>
                <w:szCs w:val="22"/>
              </w:rPr>
            </w:pPr>
            <w:r w:rsidRPr="00BC2685">
              <w:rPr>
                <w:rFonts w:ascii="Arial" w:hAnsi="Arial" w:cs="Arial"/>
                <w:sz w:val="22"/>
                <w:szCs w:val="22"/>
              </w:rPr>
              <w:t xml:space="preserve">    create 3-D models)</w:t>
            </w:r>
          </w:p>
          <w:p w:rsidR="00770B62" w:rsidRDefault="00770B62" w:rsidP="00F95CAD">
            <w:pPr>
              <w:rPr>
                <w:rFonts w:ascii="Arial" w:hAnsi="Arial" w:cs="Arial"/>
                <w:sz w:val="22"/>
                <w:szCs w:val="22"/>
              </w:rPr>
            </w:pPr>
            <w:r>
              <w:rPr>
                <w:rFonts w:ascii="Arial" w:hAnsi="Arial" w:cs="Arial"/>
                <w:sz w:val="22"/>
                <w:szCs w:val="22"/>
              </w:rPr>
              <w:t xml:space="preserve">Urges all students to share their own </w:t>
            </w:r>
          </w:p>
          <w:p w:rsidR="00770B62" w:rsidRPr="00BC2685" w:rsidRDefault="00770B62" w:rsidP="00F95CAD">
            <w:pPr>
              <w:rPr>
                <w:rFonts w:ascii="Arial" w:hAnsi="Arial" w:cs="Arial"/>
                <w:b/>
                <w:sz w:val="22"/>
                <w:szCs w:val="22"/>
              </w:rPr>
            </w:pPr>
            <w:r>
              <w:rPr>
                <w:rFonts w:ascii="Arial" w:hAnsi="Arial" w:cs="Arial"/>
                <w:sz w:val="22"/>
                <w:szCs w:val="22"/>
              </w:rPr>
              <w:t xml:space="preserve">    perspectives, theories, experiences</w:t>
            </w:r>
          </w:p>
        </w:tc>
        <w:tc>
          <w:tcPr>
            <w:tcW w:w="388" w:type="dxa"/>
          </w:tcPr>
          <w:p w:rsidR="00770B62" w:rsidRPr="00BC2685" w:rsidRDefault="00770B62" w:rsidP="00F95CAD">
            <w:pPr>
              <w:rPr>
                <w:rFonts w:ascii="Arial" w:hAnsi="Arial" w:cs="Arial"/>
                <w:b/>
                <w:sz w:val="22"/>
                <w:szCs w:val="22"/>
              </w:rPr>
            </w:pPr>
          </w:p>
        </w:tc>
        <w:tc>
          <w:tcPr>
            <w:tcW w:w="546" w:type="dxa"/>
          </w:tcPr>
          <w:p w:rsidR="00770B62" w:rsidRPr="00BC2685" w:rsidRDefault="00770B62" w:rsidP="00F95CAD">
            <w:pPr>
              <w:rPr>
                <w:rFonts w:ascii="Arial" w:hAnsi="Arial" w:cs="Arial"/>
                <w:b/>
                <w:sz w:val="22"/>
                <w:szCs w:val="22"/>
              </w:rPr>
            </w:pPr>
          </w:p>
        </w:tc>
        <w:tc>
          <w:tcPr>
            <w:tcW w:w="3348" w:type="dxa"/>
          </w:tcPr>
          <w:p w:rsidR="00770B62" w:rsidRPr="00BC2685" w:rsidRDefault="00770B62" w:rsidP="00F95CAD">
            <w:pPr>
              <w:rPr>
                <w:rFonts w:ascii="Arial" w:hAnsi="Arial" w:cs="Arial"/>
                <w:b/>
                <w:sz w:val="22"/>
                <w:szCs w:val="22"/>
              </w:rPr>
            </w:pPr>
          </w:p>
        </w:tc>
      </w:tr>
    </w:tbl>
    <w:p w:rsidR="00770B62" w:rsidRDefault="00770B62" w:rsidP="00770B62"/>
    <w:p w:rsidR="00770B62" w:rsidRPr="008A72C5" w:rsidRDefault="00770B62" w:rsidP="00770B62">
      <w:pPr>
        <w:rPr>
          <w:rFonts w:ascii="Verdana" w:hAnsi="Verdana"/>
          <w:b/>
        </w:rPr>
      </w:pPr>
      <w:r w:rsidRPr="008A72C5">
        <w:rPr>
          <w:rFonts w:ascii="Verdana" w:hAnsi="Verdana"/>
          <w:b/>
        </w:rPr>
        <w:t>Questions to guide discussion:</w:t>
      </w:r>
    </w:p>
    <w:p w:rsidR="00770B62" w:rsidRDefault="00770B62" w:rsidP="00770B62">
      <w:pPr>
        <w:rPr>
          <w:rFonts w:ascii="Verdana" w:hAnsi="Verdana"/>
        </w:rPr>
      </w:pPr>
    </w:p>
    <w:p w:rsidR="00770B62" w:rsidRDefault="00770B62" w:rsidP="00770B62">
      <w:pPr>
        <w:numPr>
          <w:ilvl w:val="0"/>
          <w:numId w:val="2"/>
        </w:numPr>
        <w:rPr>
          <w:rFonts w:ascii="Verdana" w:hAnsi="Verdana"/>
        </w:rPr>
      </w:pPr>
      <w:r>
        <w:rPr>
          <w:rFonts w:ascii="Verdana" w:hAnsi="Verdana"/>
        </w:rPr>
        <w:t>What did the facilitator do to transition from lower level information seeking and sharing to higher order thinking? What was the resulting behavior among the students?</w:t>
      </w:r>
    </w:p>
    <w:p w:rsidR="00770B62" w:rsidRDefault="00770B62" w:rsidP="00770B62">
      <w:pPr>
        <w:numPr>
          <w:ilvl w:val="0"/>
          <w:numId w:val="2"/>
        </w:numPr>
        <w:rPr>
          <w:rFonts w:ascii="Verdana" w:hAnsi="Verdana"/>
        </w:rPr>
      </w:pPr>
      <w:r>
        <w:rPr>
          <w:rFonts w:ascii="Verdana" w:hAnsi="Verdana"/>
        </w:rPr>
        <w:t>What strategies did the facilitator use to promote higher order thinking? What kinds of higher order thinking did you observe?</w:t>
      </w:r>
    </w:p>
    <w:p w:rsidR="00770B62" w:rsidRDefault="00770B62" w:rsidP="00770B62">
      <w:pPr>
        <w:numPr>
          <w:ilvl w:val="0"/>
          <w:numId w:val="2"/>
        </w:numPr>
        <w:rPr>
          <w:rFonts w:ascii="Verdana" w:hAnsi="Verdana"/>
        </w:rPr>
      </w:pPr>
      <w:r>
        <w:rPr>
          <w:rFonts w:ascii="Verdana" w:hAnsi="Verdana"/>
        </w:rPr>
        <w:t>How do you know whether the facilitator listened to and heard the students’ ideas? Was he able to determine whether all students understood the concepts? Do you think all students understood the concepts?</w:t>
      </w:r>
    </w:p>
    <w:p w:rsidR="00770B62" w:rsidRDefault="00770B62" w:rsidP="00770B62">
      <w:pPr>
        <w:numPr>
          <w:ilvl w:val="0"/>
          <w:numId w:val="2"/>
        </w:numPr>
        <w:rPr>
          <w:rFonts w:ascii="Verdana" w:hAnsi="Verdana"/>
        </w:rPr>
      </w:pPr>
      <w:r>
        <w:rPr>
          <w:rFonts w:ascii="Verdana" w:hAnsi="Verdana"/>
        </w:rPr>
        <w:t>How were the group dynamics different during this segment of the discussion, compared with the beginning? Do you believe these changes facilitated or inhibited learning?</w:t>
      </w:r>
    </w:p>
    <w:p w:rsidR="00770B62" w:rsidRDefault="00770B62" w:rsidP="00770B62">
      <w:pPr>
        <w:numPr>
          <w:ilvl w:val="0"/>
          <w:numId w:val="2"/>
        </w:numPr>
        <w:rPr>
          <w:rFonts w:ascii="Verdana" w:hAnsi="Verdana"/>
        </w:rPr>
      </w:pPr>
      <w:r>
        <w:rPr>
          <w:rFonts w:ascii="Verdana" w:hAnsi="Verdana"/>
        </w:rPr>
        <w:t>What would you do differently?</w:t>
      </w:r>
    </w:p>
    <w:p w:rsidR="00770B62" w:rsidRDefault="00770B62" w:rsidP="00770B62">
      <w:pPr>
        <w:ind w:left="360"/>
        <w:rPr>
          <w:rFonts w:ascii="Verdana" w:hAnsi="Verdana"/>
        </w:rPr>
      </w:pPr>
      <w:r>
        <w:rPr>
          <w:rFonts w:ascii="Verdana" w:hAnsi="Verdana"/>
        </w:rPr>
        <w:t xml:space="preserve"> </w:t>
      </w:r>
    </w:p>
    <w:p w:rsidR="00770B62" w:rsidRPr="008A72C5" w:rsidRDefault="00770B62" w:rsidP="00770B62">
      <w:pPr>
        <w:rPr>
          <w:rFonts w:ascii="Verdana" w:hAnsi="Verdana"/>
          <w:b/>
        </w:rPr>
      </w:pPr>
      <w:r w:rsidRPr="008A72C5">
        <w:rPr>
          <w:rFonts w:ascii="Verdana" w:hAnsi="Verdana"/>
          <w:b/>
        </w:rPr>
        <w:t>Colleagues’ responses to strategies modeled in the video:</w:t>
      </w:r>
    </w:p>
    <w:p w:rsidR="00770B62" w:rsidRDefault="00770B62" w:rsidP="00770B62">
      <w:pPr>
        <w:rPr>
          <w:rFonts w:ascii="Verdana" w:hAnsi="Verdana"/>
        </w:rPr>
      </w:pPr>
    </w:p>
    <w:p w:rsidR="00770B62" w:rsidRDefault="00770B62" w:rsidP="00770B62">
      <w:pPr>
        <w:numPr>
          <w:ilvl w:val="0"/>
          <w:numId w:val="1"/>
        </w:numPr>
        <w:rPr>
          <w:rFonts w:ascii="Verdana" w:hAnsi="Verdana"/>
        </w:rPr>
      </w:pPr>
      <w:r>
        <w:rPr>
          <w:rFonts w:ascii="Verdana" w:hAnsi="Verdana"/>
        </w:rPr>
        <w:t>Asking “Does everyone understand?” may be counterproductive: students who don’t understand may not feel comfortable disclosing this. A better question might be “What is still unclear?”</w:t>
      </w:r>
    </w:p>
    <w:p w:rsidR="00770B62" w:rsidRDefault="00770B62" w:rsidP="00770B62">
      <w:pPr>
        <w:numPr>
          <w:ilvl w:val="0"/>
          <w:numId w:val="1"/>
        </w:numPr>
        <w:rPr>
          <w:rFonts w:ascii="Verdana" w:hAnsi="Verdana"/>
        </w:rPr>
      </w:pPr>
      <w:r>
        <w:rPr>
          <w:rFonts w:ascii="Verdana" w:hAnsi="Verdana"/>
        </w:rPr>
        <w:t xml:space="preserve">Asking probing questions such as “what if?” and “why?” can foster transfer of learning and higher cognitive strategies. However, tone of </w:t>
      </w:r>
      <w:r>
        <w:rPr>
          <w:rFonts w:ascii="Verdana" w:hAnsi="Verdana"/>
        </w:rPr>
        <w:lastRenderedPageBreak/>
        <w:t>voice is important: consider the difference between “</w:t>
      </w:r>
      <w:r w:rsidRPr="00FC6AC8">
        <w:rPr>
          <w:rFonts w:ascii="Verdana" w:hAnsi="Verdana"/>
          <w:b/>
        </w:rPr>
        <w:t>Why</w:t>
      </w:r>
      <w:r>
        <w:rPr>
          <w:rFonts w:ascii="Verdana" w:hAnsi="Verdana"/>
        </w:rPr>
        <w:t xml:space="preserve"> would you ask that?” and “Why would you ask </w:t>
      </w:r>
      <w:r w:rsidRPr="00FC6AC8">
        <w:rPr>
          <w:rFonts w:ascii="Verdana" w:hAnsi="Verdana"/>
          <w:b/>
        </w:rPr>
        <w:t>that</w:t>
      </w:r>
      <w:r>
        <w:rPr>
          <w:rFonts w:ascii="Verdana" w:hAnsi="Verdana"/>
        </w:rPr>
        <w:t xml:space="preserve">?” </w:t>
      </w:r>
    </w:p>
    <w:p w:rsidR="00770B62" w:rsidRDefault="00770B62" w:rsidP="00770B62">
      <w:pPr>
        <w:numPr>
          <w:ilvl w:val="0"/>
          <w:numId w:val="1"/>
        </w:numPr>
        <w:rPr>
          <w:rFonts w:ascii="Verdana" w:hAnsi="Verdana"/>
        </w:rPr>
      </w:pPr>
      <w:r>
        <w:rPr>
          <w:rFonts w:ascii="Verdana" w:hAnsi="Verdana"/>
        </w:rPr>
        <w:t>Conscious use of metacognitive strategies – e.g., by directly urging students to think more deeply – helps students establish good habits of the mind.</w:t>
      </w:r>
    </w:p>
    <w:p w:rsidR="00770B62" w:rsidRDefault="00770B62" w:rsidP="00770B62">
      <w:pPr>
        <w:numPr>
          <w:ilvl w:val="0"/>
          <w:numId w:val="1"/>
        </w:numPr>
        <w:rPr>
          <w:rFonts w:ascii="Verdana" w:hAnsi="Verdana"/>
        </w:rPr>
      </w:pPr>
      <w:r>
        <w:rPr>
          <w:rFonts w:ascii="Verdana" w:hAnsi="Verdana"/>
        </w:rPr>
        <w:t>Facilitating the use of concept maps may help students structure their discussion and thinking, synthesize information and concepts, see relationships amongst discrete bits of information, and see gaps in their reasoning. However, facilitators may need to teach students how to create concept maps.</w:t>
      </w:r>
    </w:p>
    <w:p w:rsidR="00770B62" w:rsidRDefault="00770B62" w:rsidP="00770B62">
      <w:pPr>
        <w:numPr>
          <w:ilvl w:val="0"/>
          <w:numId w:val="1"/>
        </w:numPr>
        <w:rPr>
          <w:rFonts w:ascii="Verdana" w:hAnsi="Verdana"/>
        </w:rPr>
      </w:pPr>
      <w:r>
        <w:rPr>
          <w:rFonts w:ascii="Verdana" w:hAnsi="Verdana"/>
        </w:rPr>
        <w:t>Intervening to manage quiet or domineering students is important during this phase to be sure that everyone benefits from the discussion.</w:t>
      </w:r>
    </w:p>
    <w:p w:rsidR="002C3E31" w:rsidRDefault="002C3E31">
      <w:bookmarkStart w:id="0" w:name="_GoBack"/>
      <w:bookmarkEnd w:id="0"/>
    </w:p>
    <w:sectPr w:rsidR="002C3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85428"/>
    <w:multiLevelType w:val="hybridMultilevel"/>
    <w:tmpl w:val="034A87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C2418D"/>
    <w:multiLevelType w:val="hybridMultilevel"/>
    <w:tmpl w:val="BF70E5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62"/>
    <w:rsid w:val="002C3E31"/>
    <w:rsid w:val="0077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SS399</dc:creator>
  <cp:lastModifiedBy>SS399</cp:lastModifiedBy>
  <cp:revision>1</cp:revision>
  <dcterms:created xsi:type="dcterms:W3CDTF">2011-10-19T19:19:00Z</dcterms:created>
  <dcterms:modified xsi:type="dcterms:W3CDTF">2011-10-19T19:19:00Z</dcterms:modified>
</cp:coreProperties>
</file>